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867D12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pt;margin-top:-13.8pt;width:45pt;height:51.6pt;z-index:1" fillcolor="window">
            <v:imagedata r:id="rId6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867D12" w:rsidRDefault="00867D12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867D1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7E0032">
        <w:rPr>
          <w:b/>
          <w:sz w:val="28"/>
          <w:szCs w:val="28"/>
        </w:rPr>
        <w:t>КОНЧАНСКО-СУВОРОВСКОГО</w:t>
      </w:r>
      <w:r w:rsidR="00E27802">
        <w:rPr>
          <w:b/>
          <w:sz w:val="28"/>
          <w:szCs w:val="28"/>
        </w:rPr>
        <w:t xml:space="preserve">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СЕЛЬСКОГО ПОСЕЛЕНИЯ</w:t>
      </w:r>
    </w:p>
    <w:p w:rsidR="00867D12" w:rsidRDefault="00867D12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867D12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867D12">
        <w:rPr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867D12">
        <w:rPr>
          <w:b/>
          <w:bCs/>
          <w:sz w:val="28"/>
          <w:szCs w:val="28"/>
        </w:rPr>
        <w:t xml:space="preserve">11.09.2018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67D12">
        <w:rPr>
          <w:b/>
          <w:bCs/>
          <w:sz w:val="28"/>
          <w:szCs w:val="28"/>
        </w:rPr>
        <w:t>55</w:t>
      </w:r>
    </w:p>
    <w:p w:rsidR="00BF5509" w:rsidRDefault="007E0032" w:rsidP="0097362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7E0032" w:rsidRDefault="007E0032" w:rsidP="00973627">
      <w:pPr>
        <w:jc w:val="center"/>
        <w:rPr>
          <w:b/>
          <w:sz w:val="28"/>
          <w:szCs w:val="28"/>
        </w:rPr>
      </w:pPr>
    </w:p>
    <w:p w:rsidR="007108FB" w:rsidRDefault="007108FB" w:rsidP="007E0032">
      <w:pPr>
        <w:pStyle w:val="a7"/>
        <w:shd w:val="clear" w:color="auto" w:fill="FFFFFF"/>
        <w:spacing w:before="0" w:after="0"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r w:rsidR="007E0032">
        <w:rPr>
          <w:b/>
          <w:bCs/>
          <w:sz w:val="28"/>
          <w:szCs w:val="28"/>
        </w:rPr>
        <w:t>Кончанско-Суворовского</w:t>
      </w:r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B737C3">
        <w:rPr>
          <w:b/>
          <w:sz w:val="28"/>
        </w:rPr>
        <w:t>«П</w:t>
      </w:r>
      <w:r w:rsidR="00B737C3">
        <w:rPr>
          <w:b/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</w:p>
    <w:p w:rsidR="00B737C3" w:rsidRDefault="00B737C3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7E0032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r w:rsidR="007E0032">
        <w:rPr>
          <w:sz w:val="28"/>
          <w:szCs w:val="28"/>
        </w:rPr>
        <w:t>Кончанско-Суворовского</w:t>
      </w:r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 w:rsidR="007E0032">
        <w:rPr>
          <w:color w:val="000000"/>
          <w:sz w:val="28"/>
          <w:szCs w:val="28"/>
        </w:rPr>
        <w:t>Кончанско-Суворовского</w:t>
      </w:r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B737C3" w:rsidRPr="00B737C3">
        <w:rPr>
          <w:sz w:val="28"/>
        </w:rPr>
        <w:t>«П</w:t>
      </w:r>
      <w:r w:rsidR="00B737C3" w:rsidRPr="00B737C3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  <w:r w:rsidRPr="00BB69C6">
        <w:rPr>
          <w:bCs/>
          <w:sz w:val="28"/>
          <w:szCs w:val="28"/>
        </w:rPr>
        <w:t xml:space="preserve"> утвержденный постановлением Администрации </w:t>
      </w:r>
      <w:r w:rsidR="007E0032">
        <w:rPr>
          <w:bCs/>
          <w:sz w:val="28"/>
          <w:szCs w:val="28"/>
        </w:rPr>
        <w:t>Кончанско-Суворовского</w:t>
      </w:r>
      <w:r w:rsidRPr="00BB69C6">
        <w:rPr>
          <w:bCs/>
          <w:sz w:val="28"/>
          <w:szCs w:val="28"/>
        </w:rPr>
        <w:t xml:space="preserve"> сельского поселения </w:t>
      </w:r>
      <w:r w:rsidR="007E0032">
        <w:rPr>
          <w:bCs/>
          <w:sz w:val="28"/>
          <w:szCs w:val="28"/>
        </w:rPr>
        <w:t>от 30.05.2012 № 31: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B737C3">
        <w:rPr>
          <w:sz w:val="28"/>
        </w:rPr>
        <w:t>«П</w:t>
      </w:r>
      <w:r w:rsidR="00B737C3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  <w:r w:rsidR="00B737C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DE" w:rsidRDefault="00BB7448" w:rsidP="00BB7448">
      <w:pPr>
        <w:spacing w:before="120"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0C7ADE" w:rsidP="000C7ADE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 xml:space="preserve"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</w:t>
      </w:r>
      <w:r w:rsidRPr="00867D12">
        <w:rPr>
          <w:sz w:val="28"/>
          <w:szCs w:val="28"/>
        </w:rPr>
        <w:t>заявитель может получить путем обращения в Администрацию и при помощи региональной информационной системы</w:t>
      </w:r>
      <w:r w:rsidRPr="000C7ADE">
        <w:rPr>
          <w:color w:val="FF0000"/>
          <w:sz w:val="28"/>
          <w:szCs w:val="28"/>
        </w:rPr>
        <w:t xml:space="preserve"> </w:t>
      </w:r>
      <w:r w:rsidRPr="000C7ADE">
        <w:rPr>
          <w:sz w:val="28"/>
          <w:szCs w:val="28"/>
        </w:rPr>
        <w:lastRenderedPageBreak/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7D12">
        <w:rPr>
          <w:rFonts w:ascii="Times New Roman" w:hAnsi="Times New Roman" w:cs="Times New Roman"/>
          <w:bCs/>
          <w:sz w:val="28"/>
          <w:szCs w:val="28"/>
        </w:rPr>
        <w:t xml:space="preserve">2.15.4. </w:t>
      </w:r>
      <w:r w:rsidRPr="00867D12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867D12">
        <w:rPr>
          <w:sz w:val="28"/>
          <w:szCs w:val="28"/>
        </w:rPr>
        <w:t xml:space="preserve"> </w:t>
      </w:r>
      <w:r w:rsidRPr="00867D12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 «Портал государственных и муниципальных  услуг (функций) Новгородской</w:t>
      </w:r>
      <w:r w:rsidRPr="000C7ADE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867D12" w:rsidRPr="00867D12" w:rsidRDefault="00BB69C6" w:rsidP="00867D12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«V.</w:t>
      </w:r>
      <w:r w:rsidR="00867D12">
        <w:rPr>
          <w:b/>
          <w:sz w:val="28"/>
          <w:szCs w:val="28"/>
        </w:rPr>
        <w:t xml:space="preserve"> </w:t>
      </w:r>
      <w:proofErr w:type="gramStart"/>
      <w:r w:rsidR="00867D12" w:rsidRPr="00867D12">
        <w:rPr>
          <w:b/>
          <w:sz w:val="28"/>
          <w:szCs w:val="28"/>
          <w:lang w:eastAsia="ar-SA"/>
        </w:rPr>
        <w:t>Досудебный (внесудебный) порядок обжалования решений и действий (бездействий)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(бездействий) многофункционального центра, работников многофункционального центра</w:t>
      </w:r>
      <w:proofErr w:type="gramEnd"/>
    </w:p>
    <w:p w:rsidR="00BB69C6" w:rsidRDefault="00BB69C6" w:rsidP="00867D12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proofErr w:type="gramStart"/>
      <w:r>
        <w:rPr>
          <w:b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</w:t>
      </w:r>
      <w:r w:rsidR="00867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 жалоба)</w:t>
      </w:r>
      <w:proofErr w:type="gramEnd"/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 xml:space="preserve">Заявитель имеет право на досудебное (внесудебное) обжалование, оспаривание решений, действий (бездействия), принятых </w:t>
      </w:r>
      <w:r>
        <w:rPr>
          <w:rFonts w:eastAsia="Calibri"/>
          <w:sz w:val="28"/>
          <w:szCs w:val="28"/>
        </w:rPr>
        <w:lastRenderedPageBreak/>
        <w:t>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867D12" w:rsidP="00867D12">
      <w:pPr>
        <w:tabs>
          <w:tab w:val="left" w:pos="540"/>
          <w:tab w:val="left" w:pos="1260"/>
        </w:tabs>
        <w:autoSpaceDE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B69C6">
        <w:rPr>
          <w:b/>
          <w:sz w:val="28"/>
          <w:szCs w:val="28"/>
        </w:rPr>
        <w:t>.2. Предмет жалобы</w:t>
      </w:r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867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867D12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 w:rsidR="007E0032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7E0032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 w:rsidR="007E0032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867D1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7E0032">
        <w:rPr>
          <w:sz w:val="28"/>
          <w:szCs w:val="28"/>
        </w:rPr>
        <w:t>Кончанско-Суворовское</w:t>
      </w:r>
      <w:r>
        <w:rPr>
          <w:sz w:val="28"/>
          <w:szCs w:val="28"/>
        </w:rPr>
        <w:t xml:space="preserve"> сельское поселение;</w:t>
      </w:r>
    </w:p>
    <w:p w:rsidR="00BB69C6" w:rsidRDefault="00BB69C6" w:rsidP="00867D12">
      <w:pPr>
        <w:widowControl w:val="0"/>
        <w:autoSpaceDE w:val="0"/>
        <w:ind w:firstLine="709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867D12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lastRenderedPageBreak/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7E0032" w:rsidRDefault="007E0032" w:rsidP="00867D1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FF4D18">
        <w:rPr>
          <w:sz w:val="28"/>
          <w:szCs w:val="28"/>
        </w:rPr>
        <w:t>1</w:t>
      </w:r>
      <w:r>
        <w:t>.</w:t>
      </w:r>
      <w:r>
        <w:rPr>
          <w:sz w:val="28"/>
          <w:szCs w:val="28"/>
        </w:rPr>
        <w:t xml:space="preserve">Жалобы на муниципального служащего, служащего  </w:t>
      </w:r>
      <w:r w:rsidR="00867D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решения и действия (бездействие) которого обжалуются, подаются </w:t>
      </w:r>
      <w:r w:rsidR="00867D12">
        <w:rPr>
          <w:sz w:val="28"/>
          <w:szCs w:val="28"/>
        </w:rPr>
        <w:t>Главе сельского поселения</w:t>
      </w:r>
      <w:r>
        <w:rPr>
          <w:sz w:val="28"/>
          <w:szCs w:val="28"/>
        </w:rPr>
        <w:t>.</w:t>
      </w:r>
    </w:p>
    <w:p w:rsidR="007E0032" w:rsidRDefault="007E0032" w:rsidP="00867D1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Жалобы на решения, принятые  заместителем Главы администрации сельского поселения,  подаются Главе  сельского поселения.</w:t>
      </w:r>
    </w:p>
    <w:p w:rsidR="007E0032" w:rsidRPr="00867D12" w:rsidRDefault="007E0032" w:rsidP="00867D1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867D12">
        <w:rPr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867D12">
        <w:rPr>
          <w:sz w:val="28"/>
          <w:szCs w:val="28"/>
        </w:rPr>
        <w:t>.</w:t>
      </w:r>
    </w:p>
    <w:p w:rsidR="007E0032" w:rsidRDefault="007E0032" w:rsidP="00867D1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7E0032" w:rsidRDefault="007E0032" w:rsidP="00867D1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5.3.5.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867D12">
      <w:pPr>
        <w:tabs>
          <w:tab w:val="left" w:pos="1276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 w:rsidR="00867D12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 xml:space="preserve">, многофункциональный центр. </w:t>
      </w:r>
    </w:p>
    <w:p w:rsidR="00BB69C6" w:rsidRDefault="00BB69C6" w:rsidP="00867D1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</w:t>
      </w:r>
      <w:r w:rsidR="00867D12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867D12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867D1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5.5.1.</w:t>
      </w:r>
      <w:r w:rsidR="00867D12">
        <w:rPr>
          <w:rFonts w:eastAsia="Calibri"/>
          <w:iCs/>
          <w:sz w:val="28"/>
          <w:szCs w:val="28"/>
        </w:rPr>
        <w:t xml:space="preserve"> </w:t>
      </w:r>
      <w:proofErr w:type="gramStart"/>
      <w:r>
        <w:rPr>
          <w:rFonts w:eastAsia="Calibri"/>
          <w:iCs/>
          <w:sz w:val="28"/>
          <w:szCs w:val="28"/>
        </w:rPr>
        <w:t xml:space="preserve">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>
        <w:rPr>
          <w:rFonts w:eastAsia="Calibri"/>
          <w:iCs/>
          <w:sz w:val="28"/>
          <w:szCs w:val="28"/>
        </w:rPr>
        <w:t xml:space="preserve"> регистрации. </w:t>
      </w:r>
    </w:p>
    <w:p w:rsidR="00BB69C6" w:rsidRDefault="00BB69C6" w:rsidP="00867D12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r w:rsidR="007E0032">
        <w:rPr>
          <w:sz w:val="28"/>
          <w:szCs w:val="28"/>
        </w:rPr>
        <w:t>Кончанско-Суворовское</w:t>
      </w:r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867D1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</w:t>
      </w:r>
      <w:r w:rsidR="00867D12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в удовлетворении жалобы отказывается.</w:t>
      </w:r>
    </w:p>
    <w:p w:rsidR="00BB69C6" w:rsidRDefault="00BB69C6" w:rsidP="00867D12">
      <w:pPr>
        <w:tabs>
          <w:tab w:val="left" w:pos="1276"/>
        </w:tabs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867D1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867D12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867D12">
      <w:pPr>
        <w:autoSpaceDE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867D12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867D12">
      <w:pPr>
        <w:pStyle w:val="a7"/>
        <w:spacing w:before="0" w:after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бюллетене «Официальный вестник </w:t>
      </w:r>
      <w:r w:rsidR="007E0032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r w:rsidR="007E0032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4355CF" w:rsidRPr="00BB7448" w:rsidRDefault="00BB69C6" w:rsidP="007E0032">
      <w:pPr>
        <w:pStyle w:val="a7"/>
        <w:spacing w:before="0" w:after="0"/>
        <w:ind w:left="-539" w:firstLine="53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</w:t>
      </w:r>
      <w:r w:rsidR="00867D1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</w:t>
      </w:r>
      <w:proofErr w:type="spellStart"/>
      <w:r w:rsidR="00867D12">
        <w:rPr>
          <w:b/>
          <w:bCs/>
          <w:sz w:val="28"/>
          <w:szCs w:val="28"/>
        </w:rPr>
        <w:t>Т.</w:t>
      </w:r>
      <w:bookmarkStart w:id="0" w:name="_GoBack"/>
      <w:bookmarkEnd w:id="0"/>
      <w:r w:rsidR="007E0032">
        <w:rPr>
          <w:b/>
          <w:bCs/>
          <w:sz w:val="28"/>
          <w:szCs w:val="28"/>
        </w:rPr>
        <w:t>М.Воробьева</w:t>
      </w:r>
      <w:proofErr w:type="spellEnd"/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867D12">
      <w:pgSz w:w="11906" w:h="16838"/>
      <w:pgMar w:top="567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4740"/>
    <w:rsid w:val="000E52D8"/>
    <w:rsid w:val="00122BAC"/>
    <w:rsid w:val="00145F21"/>
    <w:rsid w:val="001C665D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513D83"/>
    <w:rsid w:val="005D2794"/>
    <w:rsid w:val="005F2790"/>
    <w:rsid w:val="00632327"/>
    <w:rsid w:val="007108FB"/>
    <w:rsid w:val="007E0032"/>
    <w:rsid w:val="00867468"/>
    <w:rsid w:val="00867D12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17</cp:revision>
  <cp:lastPrinted>2017-11-21T09:05:00Z</cp:lastPrinted>
  <dcterms:created xsi:type="dcterms:W3CDTF">2017-10-23T08:40:00Z</dcterms:created>
  <dcterms:modified xsi:type="dcterms:W3CDTF">2018-10-03T18:55:00Z</dcterms:modified>
</cp:coreProperties>
</file>